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A5F58A8" w:rsidR="00BB49A4" w:rsidRPr="00667F4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667F47">
        <w:rPr>
          <w:rFonts w:ascii="Arial" w:hAnsi="Arial" w:cs="Arial"/>
          <w:color w:val="000000"/>
          <w:sz w:val="22"/>
          <w:szCs w:val="22"/>
          <w:lang w:val="en-US"/>
        </w:rPr>
        <w:t>Markgröningen, 17.01.2020</w:t>
      </w:r>
    </w:p>
    <w:p w14:paraId="47F9A45D" w14:textId="188E8621" w:rsidR="009A7549" w:rsidRPr="00667F47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667F47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  <w:t xml:space="preserve">norelem presenta una nuova generazione di guide di scorrimento manuali </w:t>
      </w:r>
    </w:p>
    <w:p w14:paraId="742B37D6" w14:textId="2704E2C9" w:rsidR="009D29C5" w:rsidRPr="00667F47" w:rsidRDefault="00041711" w:rsidP="009D29C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Una gamma completa di prodotti di alta qualità: modelli a coda di rondine e guide di scorrimento di precisione con cuscinetti a rulli</w:t>
      </w:r>
    </w:p>
    <w:p w14:paraId="1C3E641E" w14:textId="77777777" w:rsidR="00480D46" w:rsidRPr="00667F47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D86CB43" w14:textId="24EB495A" w:rsidR="00A31781" w:rsidRPr="00667F47" w:rsidRDefault="006C69D8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Modularità, alta precisione, lunga durata e un servizio ottimale - questi sono i vantaggi delle </w:t>
      </w:r>
      <w:hyperlink r:id="rId8" w:history="1">
        <w:r w:rsidRPr="00667F47">
          <w:rPr>
            <w:rStyle w:val="Hyperlink"/>
            <w:rFonts w:ascii="Arial" w:hAnsi="Arial" w:cs="Arial"/>
            <w:b/>
            <w:sz w:val="22"/>
            <w:szCs w:val="22"/>
            <w:lang w:val="en-US"/>
          </w:rPr>
          <w:t>guide di scorrimento</w:t>
        </w:r>
      </w:hyperlink>
      <w:r w:rsidRPr="00667F4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che norelem ha sviluppato di recente. Esse consentono il posizionamento e il movimento in direzione orizzontale e verticale. Le soluzioni possono essere adattate in modo flessibile alle diverse esigenze e sono quindi la scelta ideale per una varietà di applicazioni.  </w:t>
      </w:r>
    </w:p>
    <w:p w14:paraId="30503882" w14:textId="5F60B0B5" w:rsidR="004E0745" w:rsidRPr="00667F47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5F33CC5F" w14:textId="18C50146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>Si apre il sipario sulle nuove guide di scorrimento di norelem, che si caratterizzano tra l'altro per il loro sistema di regolazione integrato - una foratura modulare con fori di montaggio integrati rende superflua la riconfigurazione da parte del cliente. L'attacco rapido apre infinite possibilità di montaggio, garantendo sempre una precisione ottimale: ciò è assicurato dalla geometria ad alta precisione ottenuta grazie alla vite di regolazione graduata e alle superfici lavorate su misura. La particolare durata delle guide di scorrimento è garantita, tra l'altro, dalla costruzione robusta e resistente, in grado di affrontare anche condizioni ambientali difficili. Grazie agli ingrassatori integrati, la rilubrificazione delle guide è possibile in qualsiasi momento, se necessario, riducendo così al minimo la manutenzione. Grazie a queste caratteristiche, le guide di scorrimento di norelem vengono utilizzate nella costruzione di macchine, apparecchi e strumenti di misura, nonché nell'industria dell'ottica e dell'ingegneria di precisione.</w:t>
      </w:r>
    </w:p>
    <w:p w14:paraId="613431F9" w14:textId="77777777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A6E1904" w14:textId="77777777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guide a coda di rondine sono economiche e allo stesso tempo altamente caricabili. Questi modelli hanno una capacità di carico molto elevata fino a 1500 N grazie alle grandi superfici di contatto. Come materiali vengono utilizzati la ghisa grigia e </w:t>
      </w: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>l'alluminio, laddove le versioni in alluminio rappresentano un eccellente compromesso tra peso, capacità di carico e precisione.  Le guide a coda di rondine sono disponibili in larghezze da 20 a 150 mm e lunghezze da 30 a 310 mm. La regolazione individuale del gioco tra la parte interna ed esterna viene effettuata mediante una barra di regolazione. Tutte le superfici esterne sono rettificate e le guide sono finemente fresate. I modelli dotati di un mandrino filettato dispongono di una manopola graduata con divisione della scala 0,02 mm per la regolazione della corsa.</w:t>
      </w:r>
    </w:p>
    <w:p w14:paraId="5CC27615" w14:textId="77777777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B38F659" w14:textId="77777777" w:rsidR="006E3BD0" w:rsidRPr="006E3BD0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guide di scorrimento di precisione con cuscinetti a rulli in ghisa grigia convincono per la loro scorrevolezza e l'elevata precisione.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Sono disponibili in larghezze da 40 a 100 mm e lunghezze da 50 a 360 mm. </w:t>
      </w: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guide a rulli sono dotate di guide a rulli incrociati temprate e rettificate. </w:t>
      </w:r>
      <w:r>
        <w:rPr>
          <w:rFonts w:ascii="Arial" w:hAnsi="Arial" w:cs="Arial"/>
          <w:color w:val="000000" w:themeColor="text1"/>
          <w:sz w:val="22"/>
          <w:szCs w:val="22"/>
        </w:rPr>
        <w:t>Questi garantiscono un funzionamento regolare e privo di gioco e un attrito di avviamento minimo, in modo da richiedere solo piccole sollecitazioni.</w:t>
      </w:r>
    </w:p>
    <w:p w14:paraId="434F6B54" w14:textId="77777777" w:rsidR="006E3BD0" w:rsidRPr="006E3BD0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8D55BCB" w14:textId="77777777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tavole di guida a coda di rondine e le guide di precisione a rulli possono essere montate per formare tavole ortogonali. Questo è un ulteriore vantaggio della nuova generazione di tavole di guida: su tutti i fori filettati è presente un foro di centraggio aggiuntivo. In combinazione con gli appositi anelli di centraggio, sulla slitta possono essere montate con precisione diverse guide del carrello e altri elementi di collegamento. </w:t>
      </w:r>
    </w:p>
    <w:p w14:paraId="6F7C7C63" w14:textId="6337653D" w:rsidR="006E3BD0" w:rsidRPr="00667F47" w:rsidRDefault="006E3BD0" w:rsidP="006E3BD0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363D6C7B" w14:textId="43D8685B" w:rsidR="00F861C6" w:rsidRPr="00667F47" w:rsidRDefault="00667F47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>Nombre de caractères, espaces compris :</w:t>
      </w:r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3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bookmarkStart w:id="0" w:name="_GoBack"/>
      <w:bookmarkEnd w:id="0"/>
      <w:r w:rsidRPr="00667F47">
        <w:rPr>
          <w:rFonts w:ascii="Arial" w:hAnsi="Arial" w:cs="Arial"/>
          <w:color w:val="000000" w:themeColor="text1"/>
          <w:sz w:val="22"/>
          <w:szCs w:val="22"/>
          <w:lang w:val="en-US"/>
        </w:rPr>
        <w:t>342</w:t>
      </w:r>
    </w:p>
    <w:p w14:paraId="6C1D677B" w14:textId="2613B308" w:rsidR="00351471" w:rsidRDefault="00351471" w:rsidP="00FD69D2">
      <w:pPr>
        <w:spacing w:line="300" w:lineRule="auto"/>
        <w:rPr>
          <w:rStyle w:val="artgrpdescriptiontextstd"/>
          <w:lang w:val="en-US"/>
        </w:rPr>
      </w:pPr>
    </w:p>
    <w:p w14:paraId="6ABEB029" w14:textId="77777777" w:rsidR="00667F47" w:rsidRDefault="00667F47" w:rsidP="00FD69D2">
      <w:pPr>
        <w:spacing w:line="300" w:lineRule="auto"/>
        <w:rPr>
          <w:rStyle w:val="artgrpdescriptiontextstd"/>
          <w:lang w:val="en-US"/>
        </w:rPr>
      </w:pPr>
    </w:p>
    <w:p w14:paraId="307906A3" w14:textId="77777777" w:rsidR="00667F47" w:rsidRDefault="00667F47" w:rsidP="00FD69D2">
      <w:pPr>
        <w:spacing w:line="300" w:lineRule="auto"/>
        <w:rPr>
          <w:rStyle w:val="artgrpdescriptiontextstd"/>
          <w:lang w:val="en-US"/>
        </w:rPr>
      </w:pPr>
    </w:p>
    <w:p w14:paraId="610ABD9A" w14:textId="77777777" w:rsidR="00667F47" w:rsidRPr="00667F47" w:rsidRDefault="00667F47" w:rsidP="00FD69D2">
      <w:pPr>
        <w:spacing w:line="300" w:lineRule="auto"/>
        <w:rPr>
          <w:rStyle w:val="artgrpdescriptiontextstd"/>
          <w:lang w:val="en-US"/>
        </w:rPr>
      </w:pPr>
    </w:p>
    <w:p w14:paraId="3F17C91A" w14:textId="77777777" w:rsidR="009A7549" w:rsidRPr="00667F4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63D0CA14" w:rsidR="00FD69D2" w:rsidRPr="00667F47" w:rsidRDefault="00FD69D2" w:rsidP="00FD69D2">
      <w:pPr>
        <w:rPr>
          <w:rFonts w:ascii="Arial" w:hAnsi="Arial" w:cs="Arial"/>
          <w:lang w:val="en-US"/>
        </w:rPr>
      </w:pPr>
    </w:p>
    <w:p w14:paraId="5BE54F55" w14:textId="77777777" w:rsidR="002C2D77" w:rsidRPr="00667F47" w:rsidRDefault="002C2D77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667F4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667F47">
        <w:rPr>
          <w:rFonts w:ascii="Arial" w:hAnsi="Arial" w:cs="Arial"/>
          <w:i w:val="0"/>
          <w:iCs w:val="0"/>
          <w:sz w:val="22"/>
          <w:szCs w:val="22"/>
          <w:lang w:val="en-US"/>
        </w:rPr>
        <w:t>Breve profilo aziendale di norelem Normelemente KG</w:t>
      </w:r>
    </w:p>
    <w:p w14:paraId="7DC42597" w14:textId="77777777" w:rsidR="004E7C8F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67F47">
        <w:rPr>
          <w:rFonts w:ascii="Arial" w:hAnsi="Arial" w:cs="Arial"/>
          <w:sz w:val="22"/>
          <w:szCs w:val="22"/>
          <w:lang w:val="en-US"/>
        </w:rPr>
        <w:t xml:space="preserve">Ogni successo parte sempre da un'idea. Per questo motivo norelem supporta progettisti e tecnici dell'ingegneria meccanica e impiantistica nel raggiungimento dei loro obiettivi. La giusta selezione dalla nostra gamma completa di oltre 45.000 pezzi standard e parti operative può essere trovata rapidamente e facilmente nel BIG GREEN BOOK, il catalogo unico nel suo genere e di facile utilizzo di norelem. </w:t>
      </w:r>
    </w:p>
    <w:p w14:paraId="68E31414" w14:textId="77777777" w:rsidR="004E7C8F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A8637C7" w14:textId="77777777" w:rsidR="004E7C8F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67F47">
        <w:rPr>
          <w:rFonts w:ascii="Arial" w:hAnsi="Arial" w:cs="Arial"/>
          <w:sz w:val="22"/>
          <w:szCs w:val="22"/>
          <w:lang w:val="en-US"/>
        </w:rPr>
        <w:t xml:space="preserve">Il catalogo permette di guadagnare tempo, di lavorare in modo più efficiente e di ottimizzare i costi di realizzazione del progetto. I componenti norelem sono infatti immediatamente disponibili, inclusi i dati CAD gratuiti, per una progettazione più rapida senza disegno o configurazione. Risultati perfetti in tempi rapidi e a costi ridotti. Il vantaggio: le parti standard. </w:t>
      </w:r>
    </w:p>
    <w:p w14:paraId="3A16B871" w14:textId="77777777" w:rsidR="004E7C8F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E92457F" w14:textId="08E96D51" w:rsidR="00FD69D2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67F47">
        <w:rPr>
          <w:rFonts w:ascii="Arial" w:hAnsi="Arial" w:cs="Arial"/>
          <w:sz w:val="22"/>
          <w:szCs w:val="22"/>
          <w:lang w:val="en-US"/>
        </w:rPr>
        <w:t>Come azienda affermata nel settore, ci impegniamo a promuovere i giovani talenti con la norelem ACADEMY Per consentire ai progettisti di domani di iniziare al meglio il loro lavoro.</w:t>
      </w:r>
    </w:p>
    <w:p w14:paraId="7E136E1A" w14:textId="77777777" w:rsidR="004E7C8F" w:rsidRPr="00667F47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8115F7" w14:textId="7418B5F4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Caratteri (spazi inclusi): </w:t>
      </w:r>
      <w:r w:rsidR="00667F47">
        <w:rPr>
          <w:rFonts w:ascii="Arial" w:hAnsi="Arial" w:cs="Arial"/>
          <w:sz w:val="22"/>
          <w:szCs w:val="22"/>
        </w:rPr>
        <w:t>961</w:t>
      </w:r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0FACD866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9"/>
      <w:footerReference w:type="even" r:id="rId10"/>
      <w:footerReference w:type="default" r:id="rId11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D237F" w14:textId="77777777" w:rsidR="006A376B" w:rsidRDefault="006A376B">
      <w:r>
        <w:separator/>
      </w:r>
    </w:p>
  </w:endnote>
  <w:endnote w:type="continuationSeparator" w:id="0">
    <w:p w14:paraId="142B89DD" w14:textId="77777777" w:rsidR="006A376B" w:rsidRDefault="006A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6A376B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F9C22" w14:textId="77777777" w:rsidR="006A376B" w:rsidRDefault="006A376B">
      <w:r>
        <w:separator/>
      </w:r>
    </w:p>
  </w:footnote>
  <w:footnote w:type="continuationSeparator" w:id="0">
    <w:p w14:paraId="25F41F91" w14:textId="77777777" w:rsidR="006A376B" w:rsidRDefault="006A3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</w:t>
    </w:r>
    <w:r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France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Comunicato stampa</w:t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5.25pt;height:5.25pt" o:bullet="t">
        <v:imagedata r:id="rId1" o:title="bullet_red"/>
      </v:shape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F78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1711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5E1B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2C15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2D77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2C33"/>
    <w:rsid w:val="00317840"/>
    <w:rsid w:val="00317C78"/>
    <w:rsid w:val="00317F4C"/>
    <w:rsid w:val="00322B50"/>
    <w:rsid w:val="003233C1"/>
    <w:rsid w:val="00323990"/>
    <w:rsid w:val="00323A2D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690"/>
    <w:rsid w:val="00363B8C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0933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6E65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3EDE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86245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1BB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67F47"/>
    <w:rsid w:val="00670437"/>
    <w:rsid w:val="006704A6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76B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C69D8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37CF"/>
    <w:rsid w:val="006E3BD0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17A03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2A0B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00CC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1930"/>
    <w:rsid w:val="009C5770"/>
    <w:rsid w:val="009C627B"/>
    <w:rsid w:val="009C7494"/>
    <w:rsid w:val="009C7EAC"/>
    <w:rsid w:val="009D0704"/>
    <w:rsid w:val="009D24C2"/>
    <w:rsid w:val="009D29C5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36E8A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3A68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C4F6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1E82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3E"/>
    <w:rsid w:val="00C20F8B"/>
    <w:rsid w:val="00C21E7B"/>
    <w:rsid w:val="00C220A9"/>
    <w:rsid w:val="00C232AC"/>
    <w:rsid w:val="00C23D3C"/>
    <w:rsid w:val="00C25872"/>
    <w:rsid w:val="00C25B23"/>
    <w:rsid w:val="00C26178"/>
    <w:rsid w:val="00C27298"/>
    <w:rsid w:val="00C27343"/>
    <w:rsid w:val="00C27972"/>
    <w:rsid w:val="00C30880"/>
    <w:rsid w:val="00C31570"/>
    <w:rsid w:val="00C31614"/>
    <w:rsid w:val="00C33C28"/>
    <w:rsid w:val="00C34BEF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D6778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4FA7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0D7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2719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4770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464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26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fr/it/it/Prodotti/THE-BIG-GREEN-BOOK/norelem-muove-Sistemi-e-componenti-per-la-costruzione-di-macchine-e-impianti/21000-Tavole-di-guida-Guide-lineari-Tavole-di-posizionamento-Guide-di-scorrimento-Indicatori-di-posizione/Tavole-di-guida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FC57D-937E-4B90-93AF-8D45FE201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912630A7.dotm</Template>
  <TotalTime>0</TotalTime>
  <Pages>3</Pages>
  <Words>652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2019-10-07T06:04:00Z</cp:lastPrinted>
  <dcterms:created xsi:type="dcterms:W3CDTF">2020-01-20T16:06:00Z</dcterms:created>
  <dcterms:modified xsi:type="dcterms:W3CDTF">2020-02-13T15:28:00Z</dcterms:modified>
</cp:coreProperties>
</file>